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楷体" w:hAnsi="楷体" w:eastAsia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bCs/>
          <w:color w:val="000000"/>
          <w:sz w:val="28"/>
          <w:szCs w:val="28"/>
        </w:rPr>
        <w:t>附件</w:t>
      </w:r>
      <w:r>
        <w:rPr>
          <w:rFonts w:ascii="楷体" w:hAnsi="楷体" w:eastAsia="楷体"/>
          <w:b/>
          <w:bCs/>
          <w:color w:val="000000"/>
          <w:sz w:val="28"/>
          <w:szCs w:val="28"/>
        </w:rPr>
        <w:t>3</w:t>
      </w:r>
    </w:p>
    <w:p>
      <w:pPr>
        <w:widowControl/>
        <w:spacing w:line="48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</w:p>
    <w:p>
      <w:pPr>
        <w:widowControl/>
        <w:spacing w:line="48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中国新闻奖新闻摄影参评作品推荐表</w:t>
      </w:r>
    </w:p>
    <w:tbl>
      <w:tblPr>
        <w:tblStyle w:val="2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26"/>
        <w:gridCol w:w="140"/>
        <w:gridCol w:w="144"/>
        <w:gridCol w:w="423"/>
        <w:gridCol w:w="994"/>
        <w:gridCol w:w="423"/>
        <w:gridCol w:w="851"/>
        <w:gridCol w:w="852"/>
        <w:gridCol w:w="1276"/>
        <w:gridCol w:w="142"/>
        <w:gridCol w:w="565"/>
        <w:gridCol w:w="142"/>
        <w:gridCol w:w="737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CN"/>
              </w:rPr>
              <w:t>《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  <w:t>广州“制衣村”再现招工潮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 w:color="000000"/>
                <w:shd w:val="clear" w:color="auto" w:fill="auto"/>
                <w:vertAlign w:val="baseline"/>
                <w:rtl w:val="0"/>
                <w:lang w:val="zh-TW" w:eastAsia="zh-CN"/>
              </w:rPr>
              <w:t>》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新闻摄影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  <w:lang w:eastAsia="zh-CN"/>
              </w:rPr>
              <w:t>组照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（单幅/组照/国际传播）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吴凡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杨登峰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刘金梦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工人日报社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</w:rPr>
              <w:t>发布端/账号/媒体名称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工人日报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  <w:t>(名称及版次)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新闻摄影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四版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w w:val="95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新媒体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作品网址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所配合的文字报道的标题</w:t>
            </w:r>
          </w:p>
        </w:tc>
        <w:tc>
          <w:tcPr>
            <w:tcW w:w="677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0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作采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品编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简过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介程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︶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zh-TW" w:eastAsia="zh-TW"/>
              </w:rPr>
            </w:pPr>
          </w:p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zh-TW" w:eastAsia="zh-TW"/>
              </w:rPr>
              <w:t>元宵节后，各地用工需求激增，劳动力市场加速回暖。在广州市海珠区，以康乐村、鹭江村、大塘村为代表的多个“制衣村”迎来招工高峰，吸引了数以万计的务工者前来。对新冠感染正式实施</w:t>
            </w: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en-US" w:eastAsia="zh-CN"/>
              </w:rPr>
              <w:t>“</w:t>
            </w: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zh-TW" w:eastAsia="zh-TW"/>
              </w:rPr>
              <w:t>乙类乙管</w:t>
            </w: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en-US" w:eastAsia="zh-CN"/>
              </w:rPr>
              <w:t>”</w:t>
            </w: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zh-TW" w:eastAsia="zh-TW"/>
              </w:rPr>
              <w:t>后，今年的工人好招吗？工人回来了吗？市场的风向可有变化？带着这样的问题，记者蹲点广州“制衣村”一周，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从“招工潮再现”的现象入手，问需求、找变化，突出新闻性。</w:t>
            </w:r>
          </w:p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在采访过程中，作者不仅拍摄了广州市有代表性的几个城中村，还跟随广东清远等地的招聘大巴到外地的服装产业园，挖掘更深层次、更有价值的新闻；采访中兼顾普通工人、小老板和企业，详细了解各方的具体需求和当前的困难，把个人的愿景和行业的发展结合起来，关注时代里的个体命运，让作品更有故事性和人情味</w:t>
            </w: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4"/>
                <w:rtl w:val="0"/>
                <w:lang w:val="zh-TW" w:eastAsia="zh-TW"/>
              </w:rPr>
              <w:t>。</w:t>
            </w:r>
          </w:p>
          <w:p>
            <w:pPr>
              <w:ind w:firstLine="480" w:firstLineChars="200"/>
              <w:jc w:val="left"/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8"/>
                <w:rtl w:val="0"/>
                <w:lang w:val="zh-TW" w:eastAsia="zh-TW"/>
              </w:rPr>
              <w:t>该组摄影作品配合文字和视频，组成一整套融媒体产品，在工人日报报网端微各端口立体化传播，增强了可读性、可看性和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8"/>
                <w:rtl w:val="0"/>
                <w:lang w:val="en-US" w:eastAsia="zh-CN"/>
              </w:rPr>
              <w:t>影响</w:t>
            </w:r>
            <w:r>
              <w:rPr>
                <w:rStyle w:val="5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z w:val="24"/>
                <w:szCs w:val="28"/>
                <w:rtl w:val="0"/>
                <w:lang w:val="zh-TW" w:eastAsia="zh-TW"/>
              </w:rPr>
              <w:t>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报道刊发后，新闻全网阅读量合计62.8万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CN"/>
              </w:rPr>
              <w:t>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其中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《广州“制衣村”再现招工潮》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摄影报道阅读量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53.4万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配套的融媒体作品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《工人挑老板、日薪500元起、熟练工外地包车抢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CN"/>
              </w:rPr>
              <w:t>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广州“制衣村”再现招工潮》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阅读量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9.4万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CN"/>
              </w:rPr>
              <w:t>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作品还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被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澎湃、《人民摄影》等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媒体转载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关于“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广州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‘制衣村’再现招工潮”的现象、节后劳动力市场变化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的相关话题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引发各界广泛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而持续的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关注和讨论。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hd w:val="clear" w:color="auto" w:fill="auto"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zh-TW" w:eastAsia="zh-TW"/>
              </w:rPr>
              <w:t>该组作品采访深入扎实，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关注就业这一最大的民生问题，切口小、站位高，有全局观。作品不仅注意到“招工潮”现象的回归，还把“招工潮”从城中村延伸出去，努力挖掘现象背后更深层面的变化：工人在寻求更高的技能和更多样化的出路；企业在努力改善工作环境、提质增效；整个产业在经历改革开放数十年的积累后，正在为下一阶段的升级蓄力。这些变化深刻反映了我国经济发展强劲的内生动力，有较强的前瞻性。</w:t>
            </w:r>
          </w:p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签名：</w:t>
            </w:r>
          </w:p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>（盖单位公章）</w:t>
            </w:r>
          </w:p>
          <w:p>
            <w:pPr>
              <w:pStyle w:val="6"/>
              <w:framePr w:wrap="auto" w:vAnchor="margin" w:hAnchor="text" w:yAlign="inline"/>
              <w:shd w:val="clear" w:color="auto" w:fill="auto"/>
              <w:ind w:firstLine="42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rtl w:val="0"/>
                <w:lang w:val="en-US" w:eastAsia="zh-CN"/>
              </w:rPr>
              <w:t xml:space="preserve">                                                    2024年4月1日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初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exact"/>
              <w:ind w:firstLine="3864" w:firstLineChars="14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4692" w:firstLineChars="170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  <w:t>签名：</w:t>
            </w:r>
          </w:p>
          <w:p>
            <w:pPr>
              <w:spacing w:line="360" w:lineRule="exact"/>
              <w:ind w:firstLine="5460" w:firstLineChars="195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202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联系人（作者）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hint="eastAsia" w:eastAsia="华文中宋"/>
                <w:sz w:val="28"/>
                <w:szCs w:val="28"/>
                <w:rtl w:val="0"/>
                <w:lang w:val="zh-CN" w:eastAsia="zh-CN"/>
              </w:rPr>
              <w:t>吴凡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hint="eastAsia" w:eastAsia="华文中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手机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ascii="华文中宋" w:hAnsi="华文中宋"/>
                <w:sz w:val="28"/>
                <w:szCs w:val="28"/>
                <w:shd w:val="clear" w:color="auto" w:fill="auto"/>
                <w:rtl w:val="0"/>
                <w:lang w:val="zh-CN" w:eastAsia="zh-CN"/>
              </w:rPr>
              <w:t>18515197191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hint="eastAsia" w:eastAsia="华文中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ascii="华文中宋" w:hAnsi="华文中宋"/>
                <w:sz w:val="28"/>
                <w:szCs w:val="28"/>
                <w:shd w:val="clear" w:color="auto" w:fill="auto"/>
                <w:rtl w:val="0"/>
                <w:lang w:val="en-US"/>
              </w:rPr>
              <w:t>010-84151</w:t>
            </w:r>
            <w:r>
              <w:rPr>
                <w:rStyle w:val="5"/>
                <w:rFonts w:ascii="华文中宋" w:hAnsi="华文中宋"/>
                <w:sz w:val="28"/>
                <w:szCs w:val="28"/>
                <w:shd w:val="clear" w:color="auto" w:fill="auto"/>
                <w:rtl w:val="0"/>
                <w:lang w:val="zh-CN" w:eastAsia="zh-CN"/>
              </w:rPr>
              <w:t>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7"/>
                <w:rFonts w:ascii="华文中宋" w:hAnsi="华文中宋" w:eastAsia="华文中宋" w:cs="华文中宋"/>
                <w:sz w:val="28"/>
                <w:szCs w:val="28"/>
              </w:rPr>
              <w:fldChar w:fldCharType="begin"/>
            </w:r>
            <w:r>
              <w:rPr>
                <w:rStyle w:val="7"/>
                <w:rFonts w:ascii="华文中宋" w:hAnsi="华文中宋" w:eastAsia="华文中宋" w:cs="华文中宋"/>
                <w:sz w:val="28"/>
                <w:szCs w:val="28"/>
              </w:rPr>
              <w:instrText xml:space="preserve"> HYPERLINK "mailto:980825278@qq.com"</w:instrText>
            </w:r>
            <w:r>
              <w:rPr>
                <w:rStyle w:val="7"/>
                <w:rFonts w:ascii="华文中宋" w:hAnsi="华文中宋" w:eastAsia="华文中宋" w:cs="华文中宋"/>
                <w:sz w:val="28"/>
                <w:szCs w:val="28"/>
              </w:rPr>
              <w:fldChar w:fldCharType="separate"/>
            </w:r>
            <w:r>
              <w:rPr>
                <w:rStyle w:val="7"/>
                <w:rFonts w:ascii="华文中宋" w:hAnsi="华文中宋"/>
                <w:sz w:val="28"/>
                <w:szCs w:val="28"/>
                <w:rtl w:val="0"/>
                <w:lang w:val="zh-CN" w:eastAsia="zh-CN"/>
              </w:rPr>
              <w:t>980825278@qq.com</w:t>
            </w:r>
            <w:r>
              <w:rPr>
                <w:rFonts w:ascii="华文中宋" w:hAnsi="华文中宋" w:eastAsia="华文中宋" w:cs="华文中宋"/>
                <w:sz w:val="28"/>
                <w:szCs w:val="28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hint="eastAsia" w:eastAsia="华文中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framePr w:wrap="auto" w:vAnchor="margin" w:hAnchor="text" w:yAlign="inline"/>
              <w:spacing w:line="360" w:lineRule="exact"/>
              <w:ind w:left="0" w:leftChars="0" w:right="0" w:rightChars="0" w:firstLine="0" w:firstLineChars="0"/>
              <w:rPr>
                <w:rFonts w:hint="eastAsia" w:ascii="Arial Unicode MS" w:hAnsi="Arial Unicode MS" w:eastAsia="Times New Roman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  <w:r>
              <w:rPr>
                <w:rStyle w:val="5"/>
                <w:rFonts w:ascii="华文中宋" w:hAnsi="华文中宋"/>
                <w:sz w:val="28"/>
                <w:szCs w:val="28"/>
                <w:shd w:val="clear" w:color="auto" w:fill="auto"/>
                <w:rtl w:val="0"/>
                <w:lang w:val="en-US"/>
              </w:rPr>
              <w:t>100718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eastAsia="华文中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北京市东城区安德路甲</w:t>
            </w:r>
            <w:r>
              <w:rPr>
                <w:rStyle w:val="5"/>
                <w:rFonts w:ascii="华文中宋" w:hAnsi="华文中宋"/>
                <w:sz w:val="28"/>
                <w:szCs w:val="28"/>
                <w:shd w:val="clear" w:color="auto" w:fill="auto"/>
                <w:rtl w:val="0"/>
                <w:lang w:val="en-US"/>
              </w:rPr>
              <w:t>61</w:t>
            </w:r>
            <w:r>
              <w:rPr>
                <w:rStyle w:val="5"/>
                <w:rFonts w:hint="eastAsia" w:eastAsia="华文中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号院工人日报摄影部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95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32"/>
                <w:szCs w:val="28"/>
              </w:rPr>
              <w:t>以下仅供自荐作品填写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获奖项名称等级</w:t>
            </w:r>
          </w:p>
        </w:tc>
        <w:tc>
          <w:tcPr>
            <w:tcW w:w="7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推荐人姓名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单位及职称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推荐人姓名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单位及职称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09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00" w:lineRule="exact"/>
              <w:jc w:val="lef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fldChar w:fldCharType="begin"/>
            </w:r>
            <w:r>
              <w:instrText xml:space="preserve"> HYPERLINK "http://www.zgjx" </w:instrText>
            </w:r>
            <w:r>
              <w:fldChar w:fldCharType="separate"/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www.zgjx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fldChar w:fldCharType="end"/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.cn下载。</w:t>
            </w: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59370"/>
            <wp:effectExtent l="0" t="0" r="4445" b="17780"/>
            <wp:docPr id="1" name="图片 1" descr="广州“制衣村”再现招工潮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州“制衣村”再现招工潮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5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ZWQ1MDJlMWUyNDZhZWQ0YjdhZDM5ZDdiMTFkODAifQ=="/>
  </w:docVars>
  <w:rsids>
    <w:rsidRoot w:val="0ABE031F"/>
    <w:rsid w:val="0ABE031F"/>
    <w:rsid w:val="1CA4563B"/>
    <w:rsid w:val="24003997"/>
    <w:rsid w:val="2C0F59E9"/>
    <w:rsid w:val="40970008"/>
    <w:rsid w:val="62A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u w:val="single"/>
    </w:rPr>
  </w:style>
  <w:style w:type="character" w:customStyle="1" w:styleId="5">
    <w:name w:val="无"/>
    <w:autoRedefine/>
    <w:qFormat/>
    <w:uiPriority w:val="0"/>
  </w:style>
  <w:style w:type="paragraph" w:customStyle="1" w:styleId="6">
    <w:name w:val="正文 A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7">
    <w:name w:val="Hyperlink.1"/>
    <w:basedOn w:val="4"/>
    <w:autoRedefine/>
    <w:qFormat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2024-03-29T06:30:00Z</dcterms:created>
  <dc:creator>1223</dc:creator>
  <cp:lastModifiedBy>踏歌起舞</cp:lastModifiedBy>
  <dcterms:modified xsi:type="dcterms:W3CDTF">2024-04-01T07:43:22Z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CBEE9C85B1FF4573908D65685D2DD622_13</vt:lpwstr>
  </property>
</Properties>
</file>