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第二十五届全国政协好新闻参评作品推荐表（二）</w:t>
      </w:r>
    </w:p>
    <w:tbl>
      <w:tblPr>
        <w:tblStyle w:val="2"/>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188"/>
        <w:gridCol w:w="1111"/>
        <w:gridCol w:w="1462"/>
        <w:gridCol w:w="1435"/>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639" w:type="dxa"/>
            <w:vMerge w:val="restart"/>
            <w:vAlign w:val="center"/>
          </w:tcPr>
          <w:p>
            <w:pPr>
              <w:spacing w:line="38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作品标题</w:t>
            </w:r>
          </w:p>
        </w:tc>
        <w:tc>
          <w:tcPr>
            <w:tcW w:w="3761" w:type="dxa"/>
            <w:gridSpan w:val="3"/>
            <w:vMerge w:val="restart"/>
            <w:vAlign w:val="center"/>
          </w:tcPr>
          <w:p>
            <w:pPr>
              <w:spacing w:line="260" w:lineRule="exact"/>
              <w:rPr>
                <w:szCs w:val="21"/>
              </w:rPr>
            </w:pPr>
            <w:r>
              <w:rPr>
                <w:szCs w:val="21"/>
              </w:rPr>
              <w:t>【引题】总工会界别委员热议“两高”工作报告对劳动者的特别关注——</w:t>
            </w:r>
          </w:p>
          <w:p>
            <w:pPr>
              <w:spacing w:line="260" w:lineRule="exact"/>
              <w:rPr>
                <w:rFonts w:ascii="Times New Roman" w:hAnsi="Times New Roman" w:eastAsia="黑体" w:cs="黑体"/>
                <w:color w:val="000000"/>
                <w:sz w:val="28"/>
              </w:rPr>
            </w:pPr>
            <w:r>
              <w:rPr>
                <w:szCs w:val="21"/>
              </w:rPr>
              <w:t>【主题】回答“工”课题 保障“工”权益</w:t>
            </w:r>
          </w:p>
        </w:tc>
        <w:tc>
          <w:tcPr>
            <w:tcW w:w="1435" w:type="dxa"/>
            <w:vAlign w:val="center"/>
          </w:tcPr>
          <w:p>
            <w:pPr>
              <w:spacing w:line="38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参评项目</w:t>
            </w:r>
          </w:p>
        </w:tc>
        <w:tc>
          <w:tcPr>
            <w:tcW w:w="2789" w:type="dxa"/>
            <w:vAlign w:val="center"/>
          </w:tcPr>
          <w:p>
            <w:pPr>
              <w:rPr>
                <w:rFonts w:ascii="Times New Roman" w:hAnsi="Times New Roman" w:eastAsia="黑体" w:cs="黑体"/>
                <w:color w:val="000000"/>
                <w:sz w:val="28"/>
              </w:rPr>
            </w:pPr>
            <w:r>
              <w:rPr>
                <w:szCs w:val="21"/>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1639" w:type="dxa"/>
            <w:vMerge w:val="continue"/>
            <w:vAlign w:val="center"/>
          </w:tcPr>
          <w:p>
            <w:pPr>
              <w:spacing w:line="380" w:lineRule="exact"/>
              <w:ind w:firstLine="560"/>
              <w:jc w:val="center"/>
              <w:rPr>
                <w:rFonts w:ascii="Times New Roman" w:hAnsi="Times New Roman" w:eastAsia="黑体" w:cs="黑体"/>
                <w:color w:val="000000"/>
                <w:sz w:val="28"/>
              </w:rPr>
            </w:pPr>
          </w:p>
        </w:tc>
        <w:tc>
          <w:tcPr>
            <w:tcW w:w="3761" w:type="dxa"/>
            <w:gridSpan w:val="3"/>
            <w:vMerge w:val="continue"/>
            <w:vAlign w:val="center"/>
          </w:tcPr>
          <w:p>
            <w:pPr>
              <w:spacing w:line="380" w:lineRule="exact"/>
              <w:ind w:firstLine="560"/>
              <w:jc w:val="center"/>
              <w:rPr>
                <w:rFonts w:ascii="Times New Roman" w:hAnsi="Times New Roman" w:eastAsia="黑体" w:cs="黑体"/>
                <w:color w:val="000000"/>
                <w:sz w:val="28"/>
              </w:rPr>
            </w:pPr>
          </w:p>
        </w:tc>
        <w:tc>
          <w:tcPr>
            <w:tcW w:w="1435" w:type="dxa"/>
            <w:vAlign w:val="center"/>
          </w:tcPr>
          <w:p>
            <w:pPr>
              <w:spacing w:line="38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刊播介质</w:t>
            </w:r>
          </w:p>
        </w:tc>
        <w:tc>
          <w:tcPr>
            <w:tcW w:w="2789" w:type="dxa"/>
            <w:vAlign w:val="center"/>
          </w:tcPr>
          <w:p>
            <w:pPr>
              <w:spacing w:line="260" w:lineRule="exact"/>
              <w:rPr>
                <w:rFonts w:ascii="Times New Roman" w:hAnsi="Times New Roman" w:eastAsia="黑体" w:cs="黑体"/>
                <w:color w:val="000000"/>
                <w:sz w:val="28"/>
              </w:rPr>
            </w:pPr>
            <w:r>
              <w:rPr>
                <w:szCs w:val="21"/>
              </w:rPr>
              <w:t>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1639" w:type="dxa"/>
            <w:vMerge w:val="continue"/>
            <w:vAlign w:val="center"/>
          </w:tcPr>
          <w:p>
            <w:pPr>
              <w:spacing w:line="380" w:lineRule="exact"/>
              <w:ind w:firstLine="560"/>
              <w:jc w:val="center"/>
              <w:rPr>
                <w:rFonts w:ascii="Times New Roman" w:hAnsi="Times New Roman" w:eastAsia="黑体" w:cs="黑体"/>
                <w:color w:val="000000"/>
                <w:sz w:val="28"/>
              </w:rPr>
            </w:pPr>
          </w:p>
        </w:tc>
        <w:tc>
          <w:tcPr>
            <w:tcW w:w="3761" w:type="dxa"/>
            <w:gridSpan w:val="3"/>
            <w:vMerge w:val="continue"/>
            <w:vAlign w:val="center"/>
          </w:tcPr>
          <w:p>
            <w:pPr>
              <w:spacing w:line="380" w:lineRule="exact"/>
              <w:ind w:firstLine="560"/>
              <w:jc w:val="center"/>
              <w:rPr>
                <w:rFonts w:ascii="Times New Roman" w:hAnsi="Times New Roman" w:eastAsia="黑体" w:cs="黑体"/>
                <w:color w:val="000000"/>
                <w:sz w:val="28"/>
              </w:rPr>
            </w:pPr>
          </w:p>
        </w:tc>
        <w:tc>
          <w:tcPr>
            <w:tcW w:w="1435" w:type="dxa"/>
            <w:vAlign w:val="center"/>
          </w:tcPr>
          <w:p>
            <w:pPr>
              <w:spacing w:line="38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语种</w:t>
            </w:r>
          </w:p>
        </w:tc>
        <w:tc>
          <w:tcPr>
            <w:tcW w:w="2789" w:type="dxa"/>
            <w:vAlign w:val="center"/>
          </w:tcPr>
          <w:p>
            <w:pPr>
              <w:spacing w:line="240" w:lineRule="atLeast"/>
              <w:rPr>
                <w:rFonts w:ascii="Times New Roman" w:hAnsi="Times New Roman" w:eastAsia="黑体" w:cs="黑体"/>
                <w:color w:val="000000"/>
                <w:sz w:val="28"/>
              </w:rPr>
            </w:pPr>
            <w:r>
              <w:rPr>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39" w:type="dxa"/>
            <w:vAlign w:val="center"/>
          </w:tcPr>
          <w:p>
            <w:pPr>
              <w:spacing w:line="320" w:lineRule="exact"/>
              <w:jc w:val="center"/>
              <w:rPr>
                <w:rFonts w:ascii="Times New Roman" w:hAnsi="Times New Roman" w:eastAsia="黑体" w:cs="黑体"/>
                <w:color w:val="000000"/>
                <w:spacing w:val="-12"/>
                <w:sz w:val="28"/>
              </w:rPr>
            </w:pPr>
            <w:r>
              <w:rPr>
                <w:rFonts w:hint="eastAsia" w:ascii="Times New Roman" w:hAnsi="Times New Roman" w:eastAsia="黑体" w:cs="黑体"/>
                <w:color w:val="000000"/>
                <w:spacing w:val="-12"/>
                <w:sz w:val="28"/>
              </w:rPr>
              <w:t>作  者</w:t>
            </w:r>
          </w:p>
          <w:p>
            <w:pPr>
              <w:spacing w:line="320" w:lineRule="exact"/>
              <w:jc w:val="center"/>
              <w:rPr>
                <w:rFonts w:ascii="Times New Roman" w:hAnsi="Times New Roman" w:eastAsia="黑体" w:cs="黑体"/>
                <w:color w:val="000000"/>
                <w:spacing w:val="-12"/>
                <w:sz w:val="24"/>
              </w:rPr>
            </w:pPr>
            <w:r>
              <w:rPr>
                <w:rFonts w:hint="eastAsia" w:ascii="Times New Roman" w:hAnsi="Times New Roman" w:eastAsia="黑体" w:cs="黑体"/>
                <w:color w:val="000000"/>
                <w:spacing w:val="-12"/>
                <w:sz w:val="24"/>
              </w:rPr>
              <w:t>（主创人员）</w:t>
            </w:r>
          </w:p>
        </w:tc>
        <w:tc>
          <w:tcPr>
            <w:tcW w:w="2299" w:type="dxa"/>
            <w:gridSpan w:val="2"/>
            <w:vAlign w:val="center"/>
          </w:tcPr>
          <w:p>
            <w:pPr>
              <w:spacing w:line="260" w:lineRule="exact"/>
              <w:rPr>
                <w:rFonts w:hint="eastAsia" w:ascii="Times New Roman" w:hAnsi="Times New Roman" w:cs="仿宋_GB2312" w:eastAsiaTheme="minorEastAsia"/>
                <w:color w:val="000000"/>
                <w:sz w:val="28"/>
                <w:lang w:eastAsia="zh-CN"/>
              </w:rPr>
            </w:pPr>
            <w:r>
              <w:rPr>
                <w:rFonts w:hint="eastAsia"/>
                <w:szCs w:val="21"/>
              </w:rPr>
              <w:t>集体</w:t>
            </w:r>
            <w:r>
              <w:rPr>
                <w:rFonts w:hint="eastAsia"/>
                <w:szCs w:val="21"/>
                <w:lang w:eastAsia="zh-CN"/>
              </w:rPr>
              <w:t>（</w:t>
            </w:r>
            <w:r>
              <w:rPr>
                <w:rFonts w:hint="eastAsia"/>
                <w:szCs w:val="21"/>
              </w:rPr>
              <w:t>陈晓燕 郑莉 朱欣</w:t>
            </w:r>
            <w:r>
              <w:rPr>
                <w:rFonts w:hint="eastAsia"/>
                <w:szCs w:val="21"/>
                <w:lang w:eastAsia="zh-CN"/>
              </w:rPr>
              <w:t>）</w:t>
            </w:r>
          </w:p>
        </w:tc>
        <w:tc>
          <w:tcPr>
            <w:tcW w:w="1462" w:type="dxa"/>
            <w:vAlign w:val="center"/>
          </w:tcPr>
          <w:p>
            <w:pPr>
              <w:jc w:val="center"/>
              <w:rPr>
                <w:rFonts w:ascii="Times New Roman" w:hAnsi="Times New Roman" w:eastAsia="黑体" w:cs="黑体"/>
                <w:color w:val="000000"/>
                <w:sz w:val="28"/>
              </w:rPr>
            </w:pPr>
            <w:r>
              <w:rPr>
                <w:rFonts w:hint="eastAsia" w:ascii="Times New Roman" w:hAnsi="Times New Roman" w:eastAsia="黑体" w:cs="黑体"/>
                <w:color w:val="000000"/>
                <w:sz w:val="28"/>
              </w:rPr>
              <w:t>编辑</w:t>
            </w:r>
          </w:p>
        </w:tc>
        <w:tc>
          <w:tcPr>
            <w:tcW w:w="4224" w:type="dxa"/>
            <w:gridSpan w:val="2"/>
            <w:vAlign w:val="center"/>
          </w:tcPr>
          <w:p>
            <w:pPr>
              <w:spacing w:line="240" w:lineRule="exact"/>
              <w:rPr>
                <w:rFonts w:hint="eastAsia" w:ascii="Times New Roman" w:hAnsi="Times New Roman" w:cs="仿宋_GB2312" w:eastAsiaTheme="minorEastAsia"/>
                <w:color w:val="000000"/>
                <w:w w:val="95"/>
                <w:szCs w:val="21"/>
                <w:lang w:eastAsia="zh-CN"/>
              </w:rPr>
            </w:pPr>
            <w:r>
              <w:rPr>
                <w:rFonts w:hint="eastAsia"/>
                <w:szCs w:val="21"/>
              </w:rPr>
              <w:t>集体</w:t>
            </w:r>
            <w:r>
              <w:rPr>
                <w:rFonts w:hint="eastAsia"/>
                <w:szCs w:val="21"/>
                <w:lang w:eastAsia="zh-CN"/>
              </w:rPr>
              <w:t>（</w:t>
            </w:r>
            <w:r>
              <w:rPr>
                <w:rFonts w:hint="eastAsia"/>
                <w:szCs w:val="21"/>
              </w:rPr>
              <w:t>郭强、罗娟、王维砚、李丹青、关晨迪、张菁、高子立</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39" w:type="dxa"/>
            <w:vAlign w:val="center"/>
          </w:tcPr>
          <w:p>
            <w:pPr>
              <w:jc w:val="center"/>
              <w:rPr>
                <w:rFonts w:ascii="Times New Roman" w:hAnsi="Times New Roman" w:eastAsia="黑体" w:cs="黑体"/>
                <w:color w:val="000000"/>
                <w:sz w:val="28"/>
              </w:rPr>
            </w:pPr>
            <w:r>
              <w:rPr>
                <w:rFonts w:hint="eastAsia" w:ascii="Times New Roman" w:hAnsi="Times New Roman" w:eastAsia="黑体" w:cs="黑体"/>
                <w:color w:val="000000"/>
                <w:sz w:val="28"/>
              </w:rPr>
              <w:t>刊播单位</w:t>
            </w:r>
          </w:p>
        </w:tc>
        <w:tc>
          <w:tcPr>
            <w:tcW w:w="2299" w:type="dxa"/>
            <w:gridSpan w:val="2"/>
            <w:vAlign w:val="center"/>
          </w:tcPr>
          <w:p>
            <w:pPr>
              <w:spacing w:line="260" w:lineRule="exact"/>
              <w:ind w:firstLine="420"/>
              <w:rPr>
                <w:rFonts w:ascii="Times New Roman" w:hAnsi="Times New Roman" w:eastAsia="仿宋_GB2312" w:cs="仿宋_GB2312"/>
                <w:color w:val="000000"/>
                <w:szCs w:val="21"/>
              </w:rPr>
            </w:pPr>
            <w:r>
              <w:rPr>
                <w:rFonts w:hint="eastAsia"/>
                <w:szCs w:val="21"/>
              </w:rPr>
              <w:t>工人日报社</w:t>
            </w:r>
          </w:p>
        </w:tc>
        <w:tc>
          <w:tcPr>
            <w:tcW w:w="1462" w:type="dxa"/>
            <w:vAlign w:val="center"/>
          </w:tcPr>
          <w:p>
            <w:pPr>
              <w:spacing w:line="40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刊播日期</w:t>
            </w:r>
          </w:p>
        </w:tc>
        <w:tc>
          <w:tcPr>
            <w:tcW w:w="4224" w:type="dxa"/>
            <w:gridSpan w:val="2"/>
            <w:vAlign w:val="center"/>
          </w:tcPr>
          <w:p>
            <w:pPr>
              <w:spacing w:line="260" w:lineRule="exact"/>
              <w:rPr>
                <w:rFonts w:ascii="Times New Roman" w:hAnsi="Times New Roman" w:eastAsia="仿宋_GB2312" w:cs="仿宋_GB2312"/>
                <w:color w:val="000000"/>
                <w:sz w:val="18"/>
                <w:szCs w:val="18"/>
                <w:highlight w:val="green"/>
              </w:rPr>
            </w:pPr>
            <w:r>
              <w:rPr>
                <w:rFonts w:hint="eastAsia"/>
                <w:szCs w:val="21"/>
              </w:rPr>
              <w:t>2024-03-09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639" w:type="dxa"/>
            <w:vAlign w:val="center"/>
          </w:tcPr>
          <w:p>
            <w:pPr>
              <w:spacing w:line="4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刊播版面</w:t>
            </w:r>
            <w:r>
              <w:rPr>
                <w:rFonts w:hint="eastAsia" w:ascii="Times New Roman" w:hAnsi="Times New Roman" w:eastAsia="黑体" w:cs="黑体"/>
                <w:color w:val="000000"/>
                <w:spacing w:val="-12"/>
                <w:sz w:val="28"/>
              </w:rPr>
              <w:t>(</w:t>
            </w:r>
            <w:r>
              <w:rPr>
                <w:rFonts w:hint="eastAsia" w:ascii="Times New Roman" w:hAnsi="Times New Roman" w:eastAsia="黑体" w:cs="黑体"/>
                <w:color w:val="000000"/>
                <w:spacing w:val="-12"/>
                <w:sz w:val="24"/>
              </w:rPr>
              <w:t>名称和版次)</w:t>
            </w:r>
          </w:p>
        </w:tc>
        <w:tc>
          <w:tcPr>
            <w:tcW w:w="2299" w:type="dxa"/>
            <w:gridSpan w:val="2"/>
            <w:vAlign w:val="center"/>
          </w:tcPr>
          <w:p>
            <w:pPr>
              <w:spacing w:line="260" w:lineRule="exact"/>
              <w:rPr>
                <w:rFonts w:ascii="Times New Roman" w:hAnsi="Times New Roman" w:eastAsia="仿宋_GB2312" w:cs="仿宋_GB2312"/>
                <w:color w:val="000000"/>
                <w:szCs w:val="21"/>
              </w:rPr>
            </w:pPr>
            <w:r>
              <w:rPr>
                <w:rFonts w:hint="eastAsia"/>
                <w:szCs w:val="21"/>
                <w:lang w:eastAsia="zh-CN"/>
              </w:rPr>
              <w:t>两会工会新闻</w:t>
            </w:r>
            <w:r>
              <w:rPr>
                <w:rFonts w:hint="eastAsia"/>
                <w:szCs w:val="21"/>
                <w:lang w:val="en-US" w:eastAsia="zh-CN"/>
              </w:rPr>
              <w:t xml:space="preserve"> 2</w:t>
            </w:r>
            <w:r>
              <w:rPr>
                <w:rFonts w:hint="eastAsia"/>
                <w:szCs w:val="21"/>
              </w:rPr>
              <w:t>版</w:t>
            </w:r>
          </w:p>
        </w:tc>
        <w:tc>
          <w:tcPr>
            <w:tcW w:w="1462" w:type="dxa"/>
            <w:vAlign w:val="center"/>
          </w:tcPr>
          <w:p>
            <w:pPr>
              <w:spacing w:line="40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作品字数</w:t>
            </w:r>
          </w:p>
          <w:p>
            <w:pPr>
              <w:spacing w:line="40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（时长）</w:t>
            </w:r>
          </w:p>
        </w:tc>
        <w:tc>
          <w:tcPr>
            <w:tcW w:w="4224" w:type="dxa"/>
            <w:gridSpan w:val="2"/>
            <w:vAlign w:val="center"/>
          </w:tcPr>
          <w:p>
            <w:pPr>
              <w:spacing w:line="260" w:lineRule="exact"/>
              <w:rPr>
                <w:rFonts w:ascii="Times New Roman" w:hAnsi="Times New Roman" w:eastAsia="仿宋_GB2312" w:cs="仿宋_GB2312"/>
                <w:color w:val="000000"/>
                <w:szCs w:val="21"/>
              </w:rPr>
            </w:pPr>
            <w:r>
              <w:rPr>
                <w:szCs w:val="21"/>
              </w:rPr>
              <w:t>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2827" w:type="dxa"/>
            <w:gridSpan w:val="2"/>
            <w:vAlign w:val="center"/>
          </w:tcPr>
          <w:p>
            <w:pPr>
              <w:spacing w:line="340" w:lineRule="exact"/>
              <w:rPr>
                <w:rFonts w:ascii="Times New Roman" w:hAnsi="Times New Roman"/>
                <w:color w:val="000000"/>
                <w:szCs w:val="21"/>
              </w:rPr>
            </w:pPr>
            <w:r>
              <w:rPr>
                <w:rFonts w:hint="eastAsia" w:ascii="Times New Roman" w:hAnsi="Times New Roman" w:eastAsia="黑体" w:cs="黑体"/>
                <w:color w:val="000000"/>
                <w:sz w:val="28"/>
              </w:rPr>
              <w:t>新媒体作品填报网址</w:t>
            </w:r>
          </w:p>
        </w:tc>
        <w:tc>
          <w:tcPr>
            <w:tcW w:w="6797" w:type="dxa"/>
            <w:gridSpan w:val="4"/>
            <w:vAlign w:val="center"/>
          </w:tcPr>
          <w:p>
            <w:pPr>
              <w:spacing w:line="260" w:lineRule="exact"/>
              <w:rPr>
                <w:rFonts w:ascii="Times New Roman" w:hAnsi="Times New Roman"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639" w:type="dxa"/>
            <w:vAlign w:val="center"/>
          </w:tcPr>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 xml:space="preserve">  ︵</w:t>
            </w:r>
          </w:p>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作采</w:t>
            </w:r>
          </w:p>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品编</w:t>
            </w:r>
          </w:p>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简过</w:t>
            </w:r>
          </w:p>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介程</w:t>
            </w:r>
          </w:p>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 xml:space="preserve">  ︶</w:t>
            </w:r>
          </w:p>
        </w:tc>
        <w:tc>
          <w:tcPr>
            <w:tcW w:w="7985" w:type="dxa"/>
            <w:gridSpan w:val="5"/>
            <w:vAlign w:val="center"/>
          </w:tcPr>
          <w:p>
            <w:pPr>
              <w:spacing w:line="240" w:lineRule="exact"/>
              <w:rPr>
                <w:rFonts w:ascii="Times New Roman" w:hAnsi="Times New Roman" w:eastAsia="仿宋_GB2312" w:cs="仿宋_GB2312"/>
                <w:color w:val="000000"/>
                <w:szCs w:val="21"/>
              </w:rPr>
            </w:pPr>
          </w:p>
          <w:p>
            <w:pPr>
              <w:ind w:right="315" w:rightChars="150" w:firstLine="360" w:firstLineChars="200"/>
              <w:jc w:val="left"/>
              <w:rPr>
                <w:sz w:val="18"/>
                <w:szCs w:val="18"/>
              </w:rPr>
            </w:pPr>
            <w:r>
              <w:rPr>
                <w:rFonts w:hint="eastAsia"/>
                <w:sz w:val="18"/>
                <w:szCs w:val="18"/>
              </w:rPr>
              <w:t>劳动者权益保障关乎万千家庭</w:t>
            </w:r>
            <w:bookmarkStart w:id="0" w:name="_GoBack"/>
            <w:bookmarkEnd w:id="0"/>
            <w:r>
              <w:rPr>
                <w:rFonts w:hint="eastAsia"/>
                <w:sz w:val="18"/>
                <w:szCs w:val="18"/>
              </w:rPr>
              <w:t>冷暖，也是社会公平正义的体现。近年来，随着我国数字经济快速发展，劳动权益保障方面也出现了一些新课题，比如离线休息权、新就业形态劳动者权益保障等。与此同时，一些职场老话题如农民工欠薪、就业歧视等，也备受关注。在拟定全国两会报道方案之初，我们就将以上内容列为重点选题方向，做了充分的案头工作。</w:t>
            </w:r>
            <w:r>
              <w:rPr>
                <w:rFonts w:hint="eastAsia"/>
                <w:sz w:val="18"/>
                <w:szCs w:val="18"/>
              </w:rPr>
              <w:br w:type="textWrapping"/>
            </w:r>
            <w:r>
              <w:rPr>
                <w:rFonts w:hint="eastAsia"/>
                <w:sz w:val="18"/>
                <w:szCs w:val="18"/>
                <w:lang w:val="en-US" w:eastAsia="zh-CN"/>
              </w:rPr>
              <w:t xml:space="preserve">    </w:t>
            </w:r>
            <w:r>
              <w:rPr>
                <w:rFonts w:hint="eastAsia"/>
                <w:sz w:val="18"/>
                <w:szCs w:val="18"/>
              </w:rPr>
              <w:t>对“两高”工作报告进行讨论是全国政协会议的重要议程。今年的“两高”工作报告对劳动权益着墨甚多，以上话题多有涉及。3月8日上午，报告一出来，我们敏锐意识到，下午的总工会界别小组会议上可能出新闻！我们立即安排记者蹲守会场。果不其然，会场上，多位委员针对“两高”工作报告多处提及的劳动者权益维护内容展开热议，呼吁进一步加强对劳动领域热点问题的研究探索，解答新课题，保障劳动者合法权益。在现场的几位记者分头记下委员们的精彩发言，迅速梳理报道思路，以最快的速度于当日成稿。</w:t>
            </w:r>
            <w:r>
              <w:rPr>
                <w:rFonts w:hint="eastAsia"/>
                <w:sz w:val="18"/>
                <w:szCs w:val="18"/>
              </w:rPr>
              <w:cr/>
            </w:r>
            <w:r>
              <w:rPr>
                <w:rFonts w:hint="eastAsia"/>
                <w:sz w:val="18"/>
                <w:szCs w:val="18"/>
                <w:lang w:val="en-US" w:eastAsia="zh-CN"/>
              </w:rPr>
              <w:t xml:space="preserve">    </w:t>
            </w:r>
            <w:r>
              <w:rPr>
                <w:rFonts w:hint="eastAsia"/>
                <w:sz w:val="18"/>
                <w:szCs w:val="18"/>
              </w:rPr>
              <w:t>后方编辑团队严格执行“三审三校”制度，对稿件进行精心编辑和审核。记者和编辑团队共同努力，确保了报道逻辑清晰、语言流畅、信息无误。</w:t>
            </w:r>
            <w:r>
              <w:rPr>
                <w:rFonts w:hint="eastAsia"/>
                <w:sz w:val="18"/>
                <w:szCs w:val="18"/>
              </w:rPr>
              <w:cr/>
            </w:r>
            <w:r>
              <w:rPr>
                <w:rFonts w:hint="eastAsia"/>
                <w:sz w:val="18"/>
                <w:szCs w:val="18"/>
                <w:lang w:val="en-US" w:eastAsia="zh-CN"/>
              </w:rPr>
              <w:t xml:space="preserve">    </w:t>
            </w:r>
            <w:r>
              <w:rPr>
                <w:rFonts w:hint="eastAsia"/>
                <w:sz w:val="18"/>
                <w:szCs w:val="18"/>
              </w:rPr>
              <w:t>文章于次日在报纸见报，全网阅读量为49.9万。我们又制作推出融媒体产品，进一步扩大传播范围。</w:t>
            </w:r>
          </w:p>
          <w:p>
            <w:pPr>
              <w:spacing w:line="300" w:lineRule="exact"/>
              <w:ind w:firstLine="420"/>
              <w:rPr>
                <w:rFonts w:ascii="Times New Roman" w:hAnsi="Times New Roman" w:eastAsia="仿宋_GB2312" w:cs="仿宋_GB2312"/>
                <w:color w:val="000000"/>
                <w:w w:val="9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exact"/>
          <w:jc w:val="center"/>
        </w:trPr>
        <w:tc>
          <w:tcPr>
            <w:tcW w:w="1639" w:type="dxa"/>
            <w:vAlign w:val="center"/>
          </w:tcPr>
          <w:p>
            <w:pPr>
              <w:spacing w:line="38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社</w:t>
            </w:r>
          </w:p>
          <w:p>
            <w:pPr>
              <w:spacing w:line="38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会</w:t>
            </w:r>
          </w:p>
          <w:p>
            <w:pPr>
              <w:spacing w:line="38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效</w:t>
            </w:r>
          </w:p>
          <w:p>
            <w:pPr>
              <w:spacing w:line="38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果</w:t>
            </w:r>
          </w:p>
        </w:tc>
        <w:tc>
          <w:tcPr>
            <w:tcW w:w="7985" w:type="dxa"/>
            <w:gridSpan w:val="5"/>
            <w:vAlign w:val="center"/>
          </w:tcPr>
          <w:p>
            <w:pPr>
              <w:spacing w:line="300" w:lineRule="exact"/>
              <w:ind w:firstLine="420"/>
              <w:rPr>
                <w:rFonts w:ascii="Times New Roman" w:hAnsi="Times New Roman" w:eastAsia="仿宋_GB2312" w:cs="仿宋_GB2312"/>
                <w:color w:val="000000"/>
                <w:szCs w:val="21"/>
              </w:rPr>
            </w:pPr>
            <w:r>
              <w:rPr>
                <w:rFonts w:hint="eastAsia"/>
                <w:sz w:val="18"/>
                <w:szCs w:val="18"/>
              </w:rPr>
              <w:t>报道推出后，人民日报、人民网、各级工会媒体、各级法院新媒体平台等纷纷转载。在新浪微博，#最高法工作报告#话题阅读量6.8亿，本报道作为话题的一部分被广泛转载，引发网友转评赞，贡献了相当部分流量。</w:t>
            </w:r>
            <w:r>
              <w:rPr>
                <w:rFonts w:hint="eastAsia"/>
                <w:sz w:val="18"/>
                <w:szCs w:val="18"/>
              </w:rPr>
              <w:cr/>
            </w:r>
            <w:r>
              <w:rPr>
                <w:rFonts w:hint="eastAsia"/>
                <w:sz w:val="18"/>
                <w:szCs w:val="18"/>
              </w:rPr>
              <w:br w:type="textWrapping"/>
            </w:r>
            <w:r>
              <w:rPr>
                <w:rFonts w:hint="eastAsia"/>
                <w:sz w:val="18"/>
                <w:szCs w:val="18"/>
                <w:lang w:val="en-US" w:eastAsia="zh-CN"/>
              </w:rPr>
              <w:t xml:space="preserve">    </w:t>
            </w:r>
            <w:r>
              <w:rPr>
                <w:rFonts w:hint="eastAsia"/>
                <w:sz w:val="18"/>
                <w:szCs w:val="18"/>
              </w:rPr>
              <w:t>报道中，全国政协总工会界别委员提出的“建议最高法会同相关部门对数字经济背景下出现的劳动领域新情况新问题加强研究探索，条件成熟后作出司法解释”“更快、更广泛地推进劳动法庭的设立”“加强对各环节的排查和监督管理，及时发现和化解欠薪隐患，确保农民工‘安薪’工作”“将‘维护农民工合法权益，合力保障灵活就业群体和新就业形态劳动者权益’等内容写入2024年最高法工作安排”等观点引发众多网友共鸣。</w:t>
            </w:r>
            <w:r>
              <w:rPr>
                <w:rFonts w:hint="eastAsia"/>
                <w:sz w:val="18"/>
                <w:szCs w:val="18"/>
              </w:rPr>
              <w:cr/>
            </w:r>
            <w:r>
              <w:rPr>
                <w:rFonts w:hint="eastAsia"/>
                <w:sz w:val="18"/>
                <w:szCs w:val="18"/>
              </w:rPr>
              <w:br w:type="textWrapping"/>
            </w:r>
            <w:r>
              <w:rPr>
                <w:rFonts w:hint="eastAsia"/>
                <w:sz w:val="18"/>
                <w:szCs w:val="18"/>
                <w:lang w:val="en-US" w:eastAsia="zh-CN"/>
              </w:rPr>
              <w:t xml:space="preserve">    </w:t>
            </w:r>
            <w:r>
              <w:rPr>
                <w:rFonts w:hint="eastAsia"/>
                <w:sz w:val="18"/>
                <w:szCs w:val="18"/>
              </w:rPr>
              <w:t>3月11日，最高人民法院在官方微信公众号头条位置刊登此文，并评价“报道既有特色又具分量，点赞！”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8" w:hRule="exact"/>
          <w:jc w:val="center"/>
        </w:trPr>
        <w:tc>
          <w:tcPr>
            <w:tcW w:w="1639" w:type="dxa"/>
            <w:tcBorders>
              <w:bottom w:val="single" w:color="auto" w:sz="4" w:space="0"/>
            </w:tcBorders>
            <w:vAlign w:val="center"/>
          </w:tcPr>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单</w:t>
            </w:r>
          </w:p>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位</w:t>
            </w:r>
          </w:p>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意</w:t>
            </w:r>
          </w:p>
          <w:p>
            <w:pPr>
              <w:spacing w:line="340" w:lineRule="exact"/>
              <w:jc w:val="center"/>
              <w:rPr>
                <w:rFonts w:ascii="Times New Roman" w:hAnsi="Times New Roman" w:eastAsia="黑体" w:cs="黑体"/>
                <w:color w:val="000000"/>
                <w:sz w:val="28"/>
              </w:rPr>
            </w:pPr>
            <w:r>
              <w:rPr>
                <w:rFonts w:hint="eastAsia" w:ascii="Times New Roman" w:hAnsi="Times New Roman" w:eastAsia="黑体" w:cs="黑体"/>
                <w:color w:val="000000"/>
                <w:sz w:val="28"/>
              </w:rPr>
              <w:t>见</w:t>
            </w:r>
          </w:p>
        </w:tc>
        <w:tc>
          <w:tcPr>
            <w:tcW w:w="7985" w:type="dxa"/>
            <w:gridSpan w:val="5"/>
            <w:tcBorders>
              <w:bottom w:val="single" w:color="auto" w:sz="4" w:space="0"/>
            </w:tcBorders>
            <w:vAlign w:val="center"/>
          </w:tcPr>
          <w:p>
            <w:pPr>
              <w:spacing w:line="300" w:lineRule="exact"/>
              <w:rPr>
                <w:rFonts w:ascii="Times New Roman" w:hAnsi="Times New Roman" w:eastAsia="仿宋_GB2312" w:cs="仿宋_GB2312"/>
                <w:color w:val="000000"/>
                <w:sz w:val="24"/>
                <w:szCs w:val="18"/>
              </w:rPr>
            </w:pPr>
            <w:r>
              <w:rPr>
                <w:rFonts w:hint="eastAsia" w:ascii="Times New Roman" w:hAnsi="Times New Roman" w:eastAsia="仿宋_GB2312" w:cs="仿宋_GB2312"/>
                <w:color w:val="000000"/>
                <w:sz w:val="24"/>
                <w:szCs w:val="18"/>
              </w:rPr>
              <w:t>推荐理由：</w:t>
            </w:r>
          </w:p>
          <w:p>
            <w:pPr>
              <w:spacing w:line="300" w:lineRule="exact"/>
              <w:ind w:firstLine="420"/>
              <w:rPr>
                <w:sz w:val="18"/>
                <w:szCs w:val="18"/>
              </w:rPr>
            </w:pPr>
            <w:r>
              <w:rPr>
                <w:sz w:val="18"/>
                <w:szCs w:val="18"/>
              </w:rPr>
              <w:t>该文是两会报道中的一条新闻“活鱼”——以记者直击的方式记录了全国政协总工会界别小组会议上委员们热烈讨论的场景，展现了鲜明的界别特色，是中国共产党领导的多党合作和政治协商制度、社会主义协商民主制度的一个生动体现。</w:t>
            </w:r>
            <w:r>
              <w:rPr>
                <w:sz w:val="18"/>
                <w:szCs w:val="18"/>
              </w:rPr>
              <w:br w:type="textWrapping"/>
            </w:r>
            <w:r>
              <w:rPr>
                <w:rFonts w:hint="eastAsia"/>
                <w:sz w:val="18"/>
                <w:szCs w:val="18"/>
                <w:lang w:val="en-US" w:eastAsia="zh-CN"/>
              </w:rPr>
              <w:t xml:space="preserve">    </w:t>
            </w:r>
            <w:r>
              <w:rPr>
                <w:sz w:val="18"/>
                <w:szCs w:val="18"/>
              </w:rPr>
              <w:t>该文不仅深入探讨了当前劳动者在权益保障方面面临的挑战，而且提出了一系列切实可行的改进建议，体现了新闻媒体在社会治理中的积极作用和责任感。更为重要的是，报道推动提升了公众对劳动者权益保障的认识，也为政策制定和司法实践提供了有益参考，有助于推动社会公平正义和治理水平的提升。文章内容丰富、观点鲜明、论证充分。</w:t>
            </w:r>
          </w:p>
          <w:p>
            <w:pPr>
              <w:spacing w:line="300" w:lineRule="exact"/>
              <w:ind w:firstLine="420"/>
              <w:rPr>
                <w:rFonts w:hint="eastAsia" w:eastAsiaTheme="minorEastAsia"/>
                <w:sz w:val="18"/>
                <w:szCs w:val="18"/>
                <w:lang w:eastAsia="zh-CN"/>
              </w:rPr>
            </w:pPr>
          </w:p>
          <w:p>
            <w:pPr>
              <w:spacing w:line="300" w:lineRule="exact"/>
              <w:ind w:firstLine="360" w:firstLineChars="200"/>
              <w:rPr>
                <w:rFonts w:hint="eastAsia" w:eastAsiaTheme="minorEastAsia"/>
                <w:sz w:val="18"/>
                <w:szCs w:val="18"/>
                <w:lang w:eastAsia="zh-CN"/>
              </w:rPr>
            </w:pPr>
            <w:r>
              <w:rPr>
                <w:rFonts w:hint="eastAsia"/>
                <w:sz w:val="18"/>
                <w:szCs w:val="18"/>
                <w:lang w:eastAsia="zh-CN"/>
              </w:rPr>
              <w:t>经我单位审核，该作品内容属实，相关申报材料属实。我单位同意推荐该作品参加第二十五届全国政协好新闻评选。</w:t>
            </w:r>
          </w:p>
          <w:p>
            <w:pPr>
              <w:spacing w:line="300" w:lineRule="exact"/>
              <w:ind w:firstLine="420"/>
              <w:rPr>
                <w:sz w:val="18"/>
                <w:szCs w:val="18"/>
              </w:rPr>
            </w:pPr>
          </w:p>
          <w:p>
            <w:pPr>
              <w:spacing w:line="300" w:lineRule="exact"/>
              <w:ind w:firstLine="420"/>
              <w:rPr>
                <w:sz w:val="18"/>
                <w:szCs w:val="18"/>
              </w:rPr>
            </w:pPr>
          </w:p>
          <w:p>
            <w:pPr>
              <w:spacing w:line="300" w:lineRule="exact"/>
              <w:ind w:firstLine="420"/>
              <w:rPr>
                <w:rFonts w:ascii="Times New Roman" w:hAnsi="Times New Roman" w:eastAsia="仿宋_GB2312" w:cs="仿宋_GB2312"/>
                <w:color w:val="000000"/>
                <w:sz w:val="24"/>
                <w:szCs w:val="18"/>
              </w:rPr>
            </w:pPr>
            <w:r>
              <w:rPr>
                <w:rFonts w:hint="eastAsia" w:ascii="Times New Roman" w:hAnsi="Times New Roman" w:eastAsia="仿宋_GB2312" w:cs="仿宋_GB2312"/>
                <w:color w:val="000000"/>
                <w:sz w:val="24"/>
                <w:szCs w:val="18"/>
              </w:rPr>
              <w:t xml:space="preserve">                      刊播单位负责同志签名</w:t>
            </w:r>
          </w:p>
          <w:p>
            <w:pPr>
              <w:spacing w:line="300" w:lineRule="exact"/>
              <w:ind w:firstLine="420"/>
              <w:jc w:val="right"/>
              <w:rPr>
                <w:rFonts w:ascii="Times New Roman" w:hAnsi="Times New Roman" w:eastAsia="仿宋_GB2312" w:cs="仿宋_GB2312"/>
                <w:color w:val="000000"/>
                <w:szCs w:val="21"/>
              </w:rPr>
            </w:pPr>
            <w:r>
              <w:rPr>
                <w:rFonts w:hint="eastAsia" w:ascii="Times New Roman" w:hAnsi="Times New Roman" w:eastAsia="仿宋_GB2312" w:cs="仿宋_GB2312"/>
                <w:color w:val="000000"/>
                <w:sz w:val="24"/>
                <w:szCs w:val="18"/>
              </w:rPr>
              <w:t xml:space="preserve">（盖刊播单位公章） </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color w:val="000000"/>
                <w:sz w:val="24"/>
                <w:szCs w:val="18"/>
              </w:rPr>
              <w:t>年  月  日</w:t>
            </w:r>
          </w:p>
        </w:tc>
      </w:tr>
    </w:tbl>
    <w:p>
      <w:pPr>
        <w:widowControl/>
        <w:jc w:val="left"/>
        <w:rPr>
          <w:rFonts w:ascii="Times New Roman" w:hAnsi="Times New Roman" w:eastAsia="仿宋_GB2312" w:cs="仿宋_GB2312"/>
          <w:sz w:val="32"/>
        </w:rPr>
      </w:pP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作品原文：</w:t>
      </w:r>
    </w:p>
    <w:p>
      <w:pPr>
        <w:rPr>
          <w:rFonts w:hint="eastAsia" w:ascii="仿宋" w:hAnsi="仿宋" w:eastAsia="仿宋" w:cs="仿宋"/>
          <w:sz w:val="32"/>
          <w:szCs w:val="32"/>
          <w:lang w:eastAsia="zh-CN"/>
        </w:rPr>
      </w:pPr>
    </w:p>
    <w:p>
      <w:pPr>
        <w:rPr>
          <w:rFonts w:hint="eastAsia" w:ascii="仿宋" w:hAnsi="仿宋" w:eastAsia="仿宋" w:cs="仿宋"/>
          <w:sz w:val="32"/>
          <w:szCs w:val="32"/>
        </w:rPr>
      </w:pPr>
      <w:r>
        <w:rPr>
          <w:rFonts w:hint="eastAsia" w:ascii="仿宋" w:hAnsi="仿宋" w:eastAsia="仿宋" w:cs="仿宋"/>
          <w:sz w:val="32"/>
          <w:szCs w:val="32"/>
        </w:rPr>
        <w:t>【引题】总工会界别委员热议“两高”工作报告对劳动者的特别关注——</w:t>
      </w:r>
    </w:p>
    <w:p>
      <w:pPr>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主题</w:t>
      </w:r>
      <w:r>
        <w:rPr>
          <w:rFonts w:hint="eastAsia" w:ascii="仿宋" w:hAnsi="仿宋" w:eastAsia="仿宋" w:cs="仿宋"/>
          <w:b/>
          <w:bCs/>
          <w:sz w:val="32"/>
          <w:szCs w:val="32"/>
        </w:rPr>
        <w:t>】回答“工”课题 保障“工”权益</w:t>
      </w:r>
    </w:p>
    <w:p>
      <w:pPr>
        <w:jc w:val="center"/>
        <w:rPr>
          <w:rFonts w:hint="eastAsia" w:ascii="仿宋" w:hAnsi="仿宋" w:eastAsia="仿宋" w:cs="仿宋"/>
          <w:sz w:val="32"/>
          <w:szCs w:val="32"/>
        </w:rPr>
      </w:pPr>
      <w:r>
        <w:rPr>
          <w:rFonts w:hint="eastAsia" w:ascii="仿宋" w:hAnsi="仿宋" w:eastAsia="仿宋" w:cs="仿宋"/>
          <w:sz w:val="32"/>
          <w:szCs w:val="32"/>
        </w:rPr>
        <w:t>本报记者 陈晓燕 郑莉 朱欣</w:t>
      </w:r>
    </w:p>
    <w:p>
      <w:pPr>
        <w:jc w:val="center"/>
        <w:rPr>
          <w:rFonts w:hint="eastAsia" w:ascii="仿宋" w:hAnsi="仿宋" w:eastAsia="仿宋" w:cs="仿宋"/>
          <w:sz w:val="32"/>
          <w:szCs w:val="32"/>
        </w:rPr>
      </w:pPr>
      <w:r>
        <w:rPr>
          <w:rFonts w:hint="eastAsia" w:ascii="仿宋" w:hAnsi="仿宋" w:eastAsia="仿宋" w:cs="仿宋"/>
          <w:sz w:val="32"/>
          <w:szCs w:val="32"/>
        </w:rPr>
        <w:t>《工人日报》（2024年03月09日 02版）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议对“离线休息权”“隐形加班”作出司法解释；加强新就业形态劳动者权益维护；更好发挥检察公益诉讼在维护女职工合法权益和特殊权益方面的作用……在今天下午举行的全国政协总工会界别小组会议上，多位委员针对“两高”工作报告多处提及的劳动者权益维护内容展开热议，呼吁进一步加强对劳动领域热点问题的研究探索，解答新课题，保障劳动者合法权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焦点1：</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首现“线上‘隐形加班’”“离线休息”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委员们提及频率最高的，是最高人民法院工作报告中首次出现的“线上‘隐形加班’”“离线休息”等提法。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“让在线工作有收益，离线休息有保障。”重庆海尔洗衣机有限公司喷粉班班长卢跃富委员一直关注劳动者超时加班问题，报告关注到线上“隐形加班”等问题，让这位一线职工感到十分振奋。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高法工作报告明确把‘付出实质性劳动’和‘明显占用时间’作为线上‘隐形加班’的认定标准，回应了当前数字经济快速发展带来的新课题，是广大劳动者的福音。”全国总工会办公厅主任吕国泉委员表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样关注到这一问题的中国中车党委书记、董事长孙永才委员表示，下班后在线办公、用手机回复工作消息的现象已经较为普遍，希望结合相关案例在法律法规层面进行明确规定，让“离线休息权”的维护有更具体的法律参照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吕国泉委员进一步建议，将此类裁决、认定等纳入人民法院案例库，供理论、政策、实务、司法等部门借鉴参考。同时，建议最高法会同相关部门对数字经济背景下出现的劳动领域新情况新问题加强研究探索，条件成熟后作出司法解释，加大对违法违规行为的惩戒力度，保障劳动者合法权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焦点2：</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新就业形态劳动者权益维护迎来新契机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最高法工作报告中“维护新就业形态劳动者权益”的内容也是委员们关注的焦点。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讨论会现场，全国总工会书记处书记邹震委员提起2021年7月最高法设立的全国首家劳动法庭——苏州劳动法庭。该法庭积极探索新就业形态劳动争议审理和化解机制，有效提高了劳动争议案件处理的效率和水平。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邹震委员建议，在有条件的地区，更快、更广泛地推进劳动法庭的设立，不断提高劳动争议案件办理质效。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北京市金台律师事务所主任皮剑龙委员则提出了一个“老”问题：当前在一些劳动争议案件中，劳动者维权成本比较高。他建议，实行劳动争议“一裁一审”，快速解决矛盾纠纷。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“农民工拿到钱才是硬道理。”中国石化天津分公司代表、党委书记王百森委员注意到，过去一年，法院加大拖欠薪资案件审判执行力度，帮助农民工追回21.8亿元“辛苦钱”。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“目前一些工程项目出现多次分包的情况，这容易造成欠薪纠纷隐患。”王百森委员建议，加强对各环节的排查和监督管理，及时发现和化解欠薪隐患，确保农民工“安薪”工作。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维护好新就业形态劳动者等群体的合法权益，需要司法等各方不断发力。”全国总工会权益保障部部长粟斌委员建议，将“维护农民工合法权益，合力保障灵活就业群体和新就业形态劳动者权益”等内容写入2024年最高法工作安排。</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焦点3：</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女职工收到一份特殊的节日礼物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化妇女权益保障公益诉讼，重点监督就业歧视、贬损妇女人格等违法行为”“发布典型案例”“与人力资源社会保障部、国家卫生健康委、全国总工会等出台规范指引，推动完善女职工特殊劳动保护、消除工作场所性骚扰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“看到报告的这些表述，我眼前一亮。”全国总工会副主席、书记处书记马璐委员逐字逐句读起最高人民检察院工作报告中的相关内容。她开心地表示，这是给广大女同胞最好的节日礼物。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据介绍，2023年3月，最高检、全国总工会等6个部门发布《工作场所女职工特殊劳动保护制度（参考文本）》《消除工作场所性骚扰制度（参考文本）》，从源头上形成对用人单位内部规章制度的规范，推动共建平等和谐的工作场所和共享安全健康的良好工作环境。此外，全国妇联、全国总工会女职工委员会与中国女法官协会、中国女检察官协会、全国律协女律师协会联合发布依法维护妇女儿童权益案例。这些致力于维护女职工特殊权益的努力，都写入了最高检工作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委员们注意到，建立矛盾纠纷预防化解机制等多项工会参与的职工维权工作也同样出现在“两高”报告中。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法维护职工合法权益，是工会组织、审判机关、检察机关都应担起的责任，需要各个方面发挥职能优势。”全国总工会副主席、书记处书记魏地春委员介绍了全国总工会与最高法、最高检联合开展的一系列工作，包括推进“工会+法院+检察院+人社+司法”协作联动机制、协同运用“一函两书”保障劳动者权益、联合发布涉欠薪纠纷典型案例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魏地春委员和马璐委员表示，全国总工会将进一步深化与最高法、最高检的沟通交流和务实合作，推动形成长效机制，推广典型案例经验，共同把维护劳动者权益工作做得更好更扎实。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（本报北京3月8日电）</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ZWQ1MDJlMWUyNDZhZWQ0YjdhZDM5ZDdiMTFkODAifQ=="/>
  </w:docVars>
  <w:rsids>
    <w:rsidRoot w:val="D7F9DA0E"/>
    <w:rsid w:val="0E6B438E"/>
    <w:rsid w:val="0F855859"/>
    <w:rsid w:val="27BA5D13"/>
    <w:rsid w:val="3A904722"/>
    <w:rsid w:val="3BF27D19"/>
    <w:rsid w:val="3CD613E9"/>
    <w:rsid w:val="4EFDC99C"/>
    <w:rsid w:val="534C0852"/>
    <w:rsid w:val="5C3929A3"/>
    <w:rsid w:val="62FB30A8"/>
    <w:rsid w:val="663C7C5F"/>
    <w:rsid w:val="69EE7718"/>
    <w:rsid w:val="753A7A60"/>
    <w:rsid w:val="D7F9D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2024-03-29T06:04:00Z</dcterms:created>
  <dc:creator>陈晓燕</dc:creator>
  <cp:lastModifiedBy>踏歌起舞</cp:lastModifiedBy>
  <dcterms:modified xsi:type="dcterms:W3CDTF">2024-04-01T02:57:59Z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A0FF973EFA357E730A7905663C88121A_41</vt:lpwstr>
  </property>
</Properties>
</file>